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3EA3" w14:textId="77777777" w:rsidR="008A2199" w:rsidRPr="008A2199" w:rsidRDefault="008A2199" w:rsidP="008A2199">
      <w:pPr>
        <w:jc w:val="both"/>
      </w:pPr>
      <w:r w:rsidRPr="008A2199">
        <w:rPr>
          <w:b/>
        </w:rPr>
        <w:t>INFORMAZIONI DA FORNIRE AI SENSI DEGLI ARTICOLI 13 e 14 DEL REGOLAMENTO GENERALE SULLA PROTEZIONE DEI DATI (REGOLAMENTO UE 679/2016)</w:t>
      </w:r>
    </w:p>
    <w:p w14:paraId="2058C590" w14:textId="717B73E2" w:rsidR="008A2199" w:rsidRPr="008A2199" w:rsidRDefault="008A2199" w:rsidP="008A2199">
      <w:pPr>
        <w:jc w:val="both"/>
      </w:pPr>
      <w:r w:rsidRPr="008A2199">
        <w:t xml:space="preserve">Con l'entrata in vigore del Regolamento UE 679/2016 (di seguito, “RGPD” o il “Regolamento”), </w:t>
      </w:r>
      <w:r w:rsidRPr="001A1DA8">
        <w:rPr>
          <w:b/>
          <w:bCs/>
        </w:rPr>
        <w:t xml:space="preserve">BPCE Equipment </w:t>
      </w:r>
      <w:r w:rsidR="000B490B">
        <w:rPr>
          <w:b/>
          <w:bCs/>
        </w:rPr>
        <w:t>Solutions</w:t>
      </w:r>
      <w:r w:rsidRPr="001A1DA8">
        <w:rPr>
          <w:b/>
          <w:bCs/>
        </w:rPr>
        <w:t xml:space="preserve"> Italia S.p.A.</w:t>
      </w:r>
      <w:r w:rsidRPr="008A2199">
        <w:t>, in qualità di “Titolare” del trattamento è tenuta a fornire alcune informazioni riguardanti l'utilizzo dei dati personali.</w:t>
      </w:r>
    </w:p>
    <w:p w14:paraId="7AE185CC" w14:textId="77777777" w:rsidR="008A2199" w:rsidRPr="008A2199" w:rsidRDefault="008A2199" w:rsidP="008A2199">
      <w:pPr>
        <w:jc w:val="both"/>
        <w:rPr>
          <w:b/>
        </w:rPr>
      </w:pPr>
      <w:r w:rsidRPr="008A2199">
        <w:rPr>
          <w:b/>
        </w:rPr>
        <w:t>IDENTITÀ E DATI DI CONTATTO DEL TITOLARE DEL TRATTAMENTO</w:t>
      </w:r>
    </w:p>
    <w:p w14:paraId="38D6D899" w14:textId="7E8B8115" w:rsidR="008A2199" w:rsidRPr="008A2199" w:rsidRDefault="008A2199" w:rsidP="008A2199">
      <w:pPr>
        <w:jc w:val="both"/>
      </w:pPr>
      <w:r w:rsidRPr="008A2199">
        <w:t xml:space="preserve">Titolare del trattamento dati è BPCE Equipment </w:t>
      </w:r>
      <w:r w:rsidR="000B490B">
        <w:t>Solutions</w:t>
      </w:r>
      <w:r w:rsidRPr="008A2199">
        <w:t xml:space="preserve"> Italia S.p.A., con sede legale in Milano – Via Gattamelata n. 34 e iscritta al registro delle imprese di Milano al n. </w:t>
      </w:r>
      <w:r w:rsidR="00786913" w:rsidRPr="00786913">
        <w:t>1946531</w:t>
      </w:r>
      <w:r w:rsidRPr="008A2199">
        <w:t xml:space="preserve">, codice fiscale e partita IVA </w:t>
      </w:r>
      <w:r w:rsidR="005C6210" w:rsidRPr="005C6210">
        <w:t>07246930965</w:t>
      </w:r>
      <w:r w:rsidRPr="008A2199">
        <w:t xml:space="preserve">, PEC </w:t>
      </w:r>
      <w:r w:rsidR="00D31525" w:rsidRPr="00D31525">
        <w:t>bpce-es@legalmail.it</w:t>
      </w:r>
      <w:r w:rsidRPr="008A2199">
        <w:t xml:space="preserve"> (la “</w:t>
      </w:r>
      <w:r w:rsidRPr="008A2199">
        <w:rPr>
          <w:b/>
        </w:rPr>
        <w:t>Società</w:t>
      </w:r>
      <w:r w:rsidRPr="008A2199">
        <w:t>”).</w:t>
      </w:r>
    </w:p>
    <w:p w14:paraId="2BB9F053" w14:textId="77777777" w:rsidR="008A2199" w:rsidRPr="008A2199" w:rsidRDefault="008A2199" w:rsidP="008A2199">
      <w:pPr>
        <w:jc w:val="both"/>
        <w:rPr>
          <w:b/>
        </w:rPr>
      </w:pPr>
      <w:r w:rsidRPr="008A2199">
        <w:rPr>
          <w:b/>
        </w:rPr>
        <w:t>DATI DI CONTATTO DEL RESPONSABILE DELLA PROTEZIONE DEI DATI</w:t>
      </w:r>
    </w:p>
    <w:p w14:paraId="17455F2B" w14:textId="77777777" w:rsidR="008A2199" w:rsidRPr="008A2199" w:rsidRDefault="008A2199" w:rsidP="008A2199">
      <w:pPr>
        <w:jc w:val="both"/>
      </w:pPr>
      <w:r w:rsidRPr="008A2199">
        <w:t>Il Responsabile della protezione dei dati può essere contattato al seguente indirizzo e-mail:</w:t>
      </w:r>
    </w:p>
    <w:p w14:paraId="5B60C53E" w14:textId="77777777" w:rsidR="008A2199" w:rsidRPr="008A2199" w:rsidRDefault="008A2199" w:rsidP="008A2199">
      <w:pPr>
        <w:jc w:val="both"/>
      </w:pPr>
      <w:r w:rsidRPr="008A2199">
        <w:t>dpo-it-es@groupebpce.com</w:t>
      </w:r>
    </w:p>
    <w:p w14:paraId="6978E4F8" w14:textId="77777777" w:rsidR="008A2199" w:rsidRPr="008A2199" w:rsidRDefault="008A2199" w:rsidP="008A2199">
      <w:pPr>
        <w:jc w:val="both"/>
        <w:rPr>
          <w:b/>
        </w:rPr>
      </w:pPr>
      <w:r w:rsidRPr="008A2199">
        <w:rPr>
          <w:b/>
        </w:rPr>
        <w:t>NATURA DEI DATI PERSONALI TRATTATI</w:t>
      </w:r>
    </w:p>
    <w:p w14:paraId="5DF4EAF7" w14:textId="48E3ECE1" w:rsidR="008A2199" w:rsidRPr="008A2199" w:rsidRDefault="008A2199" w:rsidP="008A2199">
      <w:pPr>
        <w:jc w:val="both"/>
      </w:pPr>
      <w:r w:rsidRPr="008A2199">
        <w:t>Per svolgere correttamente le attività necessarie alla istruttoria, stipula, esecuzione e gestione del rapporto con propri fornitori</w:t>
      </w:r>
      <w:r w:rsidR="00495F6F">
        <w:t xml:space="preserve"> </w:t>
      </w:r>
      <w:r w:rsidRPr="008A2199">
        <w:t>/</w:t>
      </w:r>
      <w:r w:rsidR="00495F6F">
        <w:t xml:space="preserve"> </w:t>
      </w:r>
      <w:r w:rsidRPr="008A2199">
        <w:t>partner commerciali, la Società tratterà i dati personali dei fornitori / partner commerciali, inclusi quelli riferiti al/ai relativo/i personale, collaboratori, amministratori o ai soggetti comunque collegati con i fornitori / partner commerciali (“</w:t>
      </w:r>
      <w:r w:rsidRPr="008A2199">
        <w:rPr>
          <w:b/>
          <w:bCs/>
        </w:rPr>
        <w:t>Dati Personali</w:t>
      </w:r>
      <w:r w:rsidRPr="008A2199">
        <w:t>”)</w:t>
      </w:r>
      <w:r w:rsidR="00495F6F">
        <w:t>. Tra i dati personali oggetto di trattamento per le finalità di seguito specificate potranno esservi</w:t>
      </w:r>
      <w:r w:rsidRPr="008A2199">
        <w:t>, a titolo esemplificativo, dati anagrafici e di contatto (es. nome, cognome, indirizzo, data e luogo di nascita), dati relativi all’immagine (es. foto su carta d'identità),</w:t>
      </w:r>
      <w:r w:rsidR="001E48EC">
        <w:t xml:space="preserve"> dati professionali (es. ruolo e posizione ricoperta)</w:t>
      </w:r>
      <w:r w:rsidRPr="008A2199">
        <w:t xml:space="preserve"> e dati</w:t>
      </w:r>
      <w:r w:rsidR="002E2B66">
        <w:t xml:space="preserve"> </w:t>
      </w:r>
      <w:r w:rsidRPr="008A2199">
        <w:t>giudiziari.</w:t>
      </w:r>
    </w:p>
    <w:p w14:paraId="0EAB9AC2" w14:textId="77777777" w:rsidR="008A2199" w:rsidRPr="008A2199" w:rsidRDefault="008A2199" w:rsidP="008A2199">
      <w:pPr>
        <w:jc w:val="both"/>
      </w:pPr>
      <w:r w:rsidRPr="008A2199">
        <w:rPr>
          <w:b/>
        </w:rPr>
        <w:t>FINALITA' DEL TRATTAMENTO CUI SONO DESTINATI I DATI E BASE GIURIDICA DEL TRATTAMENTO</w:t>
      </w:r>
    </w:p>
    <w:p w14:paraId="685CBEC5" w14:textId="77777777" w:rsidR="008A2199" w:rsidRPr="008A2199" w:rsidRDefault="008A2199" w:rsidP="008A2199">
      <w:pPr>
        <w:jc w:val="both"/>
      </w:pPr>
      <w:r w:rsidRPr="008A2199">
        <w:t>I Dati Personali verranno trattati, nel rispetto della normativa sopra richiamata e nell'ambito della normale attività della Società, per le seguenti finalità:</w:t>
      </w:r>
    </w:p>
    <w:p w14:paraId="490F718B" w14:textId="77777777" w:rsidR="008A2199" w:rsidRPr="008A2199" w:rsidRDefault="008A2199" w:rsidP="008A2199">
      <w:pPr>
        <w:numPr>
          <w:ilvl w:val="0"/>
          <w:numId w:val="1"/>
        </w:numPr>
        <w:jc w:val="both"/>
      </w:pPr>
      <w:r w:rsidRPr="008A2199">
        <w:t xml:space="preserve">Finalità connesse e strumentali alla gestione ed allo svolgimento del rapporto contrattuale, ivi compresa la fase precontrattuale. I conseguenti trattamenti avverranno ai sensi dell’art. 6, comma 1, </w:t>
      </w:r>
      <w:proofErr w:type="spellStart"/>
      <w:r w:rsidRPr="008A2199">
        <w:t>let</w:t>
      </w:r>
      <w:proofErr w:type="spellEnd"/>
      <w:r w:rsidRPr="008A2199">
        <w:t xml:space="preserve">. b, del Regolamento. Il conferimento dei dati necessari a tali fini rappresenta, a seconda dei casi, un obbligo contrattuale o un requisito necessario alla conclusione del contratto; in mancanza di essi, la Società potrebbe essere nell’impossibilità di instaurare il rapporto o di dare esecuzione allo stesso. </w:t>
      </w:r>
    </w:p>
    <w:p w14:paraId="7083C380" w14:textId="29A77269" w:rsidR="008A2199" w:rsidRPr="008A2199" w:rsidRDefault="008A2199" w:rsidP="008A2199">
      <w:pPr>
        <w:numPr>
          <w:ilvl w:val="0"/>
          <w:numId w:val="1"/>
        </w:numPr>
        <w:jc w:val="both"/>
      </w:pPr>
      <w:r w:rsidRPr="008A2199">
        <w:t xml:space="preserve">Finalità connesse all’adempimento di obblighi, a vario titolo imposti alla Società dalla legge, dai regolamenti, dalla normativa comunitaria e dalle autorità a ciò legittimamente preposte, in materia fiscale, disposizioni impartite da Autorità amministrative e/o di vigilanza o dalla Magistratura). I conseguenti trattamenti avverranno ai sensi dell’art. 6, comma 1, </w:t>
      </w:r>
      <w:proofErr w:type="spellStart"/>
      <w:r w:rsidRPr="008A2199">
        <w:t>let</w:t>
      </w:r>
      <w:proofErr w:type="spellEnd"/>
      <w:r w:rsidRPr="008A2199">
        <w:t>. c, del Regolamento. Il conferimento dei dati necessari a tali fini rappresenta un obbligo legale; in mancanza di essi la Società sarebbe nell’impossibilità di instaurare il rapporto o di dare esecuzione allo stesso;</w:t>
      </w:r>
    </w:p>
    <w:p w14:paraId="09EFF5D2" w14:textId="60CADDAF" w:rsidR="008A2199" w:rsidRPr="008A2199" w:rsidRDefault="008A2199" w:rsidP="008A2199">
      <w:pPr>
        <w:numPr>
          <w:ilvl w:val="0"/>
          <w:numId w:val="1"/>
        </w:numPr>
        <w:jc w:val="both"/>
      </w:pPr>
      <w:r w:rsidRPr="008A2199">
        <w:t xml:space="preserve">Finalità connesse al perseguimento di un legittimo interesse del Titolare, quali la prevenzione di frodi, e la difesa dei propri diritti, anche nell'ambito di procedure di recupero crediti, nei limiti in cui non siano già ricomprese nelle precedenti finalità del trattamento, la sicurezza dei sistemi IT e delle reti. I conseguenti trattamenti avverranno ai sensi dell’art. 6, comma 1, </w:t>
      </w:r>
      <w:proofErr w:type="spellStart"/>
      <w:r w:rsidRPr="008A2199">
        <w:t>let</w:t>
      </w:r>
      <w:proofErr w:type="spellEnd"/>
      <w:r w:rsidRPr="008A2199">
        <w:t>. f, del Regolamento</w:t>
      </w:r>
      <w:r w:rsidR="00F85346">
        <w:t>, previa valutazione che non prevalgano i diritti e le libertà degli interessati</w:t>
      </w:r>
      <w:r w:rsidRPr="008A2199">
        <w:t xml:space="preserve">. </w:t>
      </w:r>
    </w:p>
    <w:p w14:paraId="7B0ADBD8" w14:textId="77777777" w:rsidR="008A2199" w:rsidRPr="008A2199" w:rsidRDefault="008A2199" w:rsidP="008A2199">
      <w:pPr>
        <w:jc w:val="both"/>
        <w:rPr>
          <w:b/>
          <w:bCs/>
        </w:rPr>
      </w:pPr>
      <w:bookmarkStart w:id="0" w:name="_Hlk514406066"/>
      <w:r w:rsidRPr="008A2199">
        <w:rPr>
          <w:b/>
          <w:bCs/>
        </w:rPr>
        <w:lastRenderedPageBreak/>
        <w:t>MODALITA' DI TRATTAMENTO DEI DATI</w:t>
      </w:r>
    </w:p>
    <w:p w14:paraId="6AA0F8FC" w14:textId="77777777" w:rsidR="008A2199" w:rsidRPr="008A2199" w:rsidRDefault="008A2199" w:rsidP="008A2199">
      <w:pPr>
        <w:jc w:val="both"/>
      </w:pPr>
      <w:r w:rsidRPr="008A2199">
        <w:t>Le modalità di trattamento dei Dati Personali prevedono, pertanto, l'utilizzo di strumenti manuali, informatici e telematici atti a memorizzare, gestire e trasmettere i dati stessi, a collegare i medesimi a dati personali di altri soggetti, in base a criteri qualitativi, quantitativi e temporali, ricorrenti o definibili di volta in volta.</w:t>
      </w:r>
    </w:p>
    <w:p w14:paraId="3C7CBDC7" w14:textId="77777777" w:rsidR="008A2199" w:rsidRPr="008A2199" w:rsidRDefault="008A2199" w:rsidP="008A2199">
      <w:pPr>
        <w:jc w:val="both"/>
      </w:pPr>
      <w:r w:rsidRPr="008A2199">
        <w:t>La riservatezza dei Dati Personali è garantita mediante l'utilizzo di adeguate misure tecniche e organizzative, in modo da ridurre al minimo il rischio di distruzione, perdita, modifica, divulgazione non autorizzata o accesso, in modo accidentale o illegale, a dati personali trasmessi, conservati o comunque trattati.</w:t>
      </w:r>
    </w:p>
    <w:p w14:paraId="6854625B" w14:textId="77777777" w:rsidR="008A2199" w:rsidRPr="008A2199" w:rsidRDefault="008A2199" w:rsidP="008A2199">
      <w:pPr>
        <w:jc w:val="both"/>
      </w:pPr>
      <w:r w:rsidRPr="008A2199">
        <w:rPr>
          <w:b/>
        </w:rPr>
        <w:t>FONTE DEI DATI PERSONALI</w:t>
      </w:r>
    </w:p>
    <w:p w14:paraId="084E353F" w14:textId="17DCED8E" w:rsidR="008A2199" w:rsidRPr="008A2199" w:rsidRDefault="008A2199" w:rsidP="008A2199">
      <w:pPr>
        <w:jc w:val="both"/>
      </w:pPr>
      <w:r w:rsidRPr="008A2199">
        <w:t>I Dati Personali in possesso della Società sono raccolti dai fornitori / partner commerciali.</w:t>
      </w:r>
      <w:bookmarkEnd w:id="0"/>
    </w:p>
    <w:p w14:paraId="0B0BDB2F" w14:textId="77777777" w:rsidR="008A2199" w:rsidRPr="008A2199" w:rsidRDefault="008A2199" w:rsidP="008A2199">
      <w:pPr>
        <w:jc w:val="both"/>
      </w:pPr>
      <w:r w:rsidRPr="008A2199">
        <w:rPr>
          <w:b/>
        </w:rPr>
        <w:t>DESTINATARI DEI DATI PERSONALI</w:t>
      </w:r>
    </w:p>
    <w:p w14:paraId="60E44036" w14:textId="77777777" w:rsidR="008A2199" w:rsidRPr="008A2199" w:rsidRDefault="008A2199" w:rsidP="008A2199">
      <w:pPr>
        <w:jc w:val="both"/>
      </w:pPr>
      <w:r w:rsidRPr="008A2199">
        <w:t>I Dati Personali potranno inoltre essere comunicati, esclusivamente per le finalità indicate nella presente informativa, alle categorie ed ai soggetti qui di seguito indicati:</w:t>
      </w:r>
    </w:p>
    <w:p w14:paraId="2F8042EA" w14:textId="77777777" w:rsidR="008A2199" w:rsidRPr="008A2199" w:rsidRDefault="008A2199" w:rsidP="008A2199">
      <w:pPr>
        <w:numPr>
          <w:ilvl w:val="0"/>
          <w:numId w:val="2"/>
        </w:numPr>
        <w:jc w:val="both"/>
      </w:pPr>
      <w:r w:rsidRPr="008A2199">
        <w:t>Pubbliche autorità, amministrazioni ed enti per gli adempimenti di legge;</w:t>
      </w:r>
    </w:p>
    <w:p w14:paraId="6693E90A" w14:textId="77777777" w:rsidR="008A2199" w:rsidRPr="008A2199" w:rsidRDefault="008A2199" w:rsidP="008A2199">
      <w:pPr>
        <w:numPr>
          <w:ilvl w:val="0"/>
          <w:numId w:val="2"/>
        </w:numPr>
        <w:jc w:val="both"/>
      </w:pPr>
      <w:r w:rsidRPr="008A2199">
        <w:t>Società appartenenti al Gruppo BPCE;</w:t>
      </w:r>
    </w:p>
    <w:p w14:paraId="53602343" w14:textId="77777777" w:rsidR="008A2199" w:rsidRPr="008A2199" w:rsidRDefault="008A2199" w:rsidP="008A2199">
      <w:pPr>
        <w:numPr>
          <w:ilvl w:val="0"/>
          <w:numId w:val="2"/>
        </w:numPr>
        <w:jc w:val="both"/>
        <w:rPr>
          <w:lang w:val="en-US"/>
        </w:rPr>
      </w:pPr>
      <w:r w:rsidRPr="008A2199">
        <w:rPr>
          <w:lang w:val="en-US"/>
        </w:rPr>
        <w:t xml:space="preserve">Rete </w:t>
      </w:r>
      <w:proofErr w:type="spellStart"/>
      <w:proofErr w:type="gramStart"/>
      <w:r w:rsidRPr="008A2199">
        <w:rPr>
          <w:lang w:val="en-US"/>
        </w:rPr>
        <w:t>commerciale</w:t>
      </w:r>
      <w:proofErr w:type="spellEnd"/>
      <w:r w:rsidRPr="008A2199">
        <w:rPr>
          <w:lang w:val="en-US"/>
        </w:rPr>
        <w:t>;</w:t>
      </w:r>
      <w:proofErr w:type="gramEnd"/>
    </w:p>
    <w:p w14:paraId="2A359A22" w14:textId="497E4C07" w:rsidR="008A2199" w:rsidRPr="008A2199" w:rsidRDefault="008A2199" w:rsidP="008A2199">
      <w:pPr>
        <w:numPr>
          <w:ilvl w:val="0"/>
          <w:numId w:val="2"/>
        </w:numPr>
        <w:jc w:val="both"/>
      </w:pPr>
      <w:r w:rsidRPr="008A2199">
        <w:t xml:space="preserve">Terzi che svolgono specifici incarichi di collaborazione per conto della nostra Società, tra cui professionisti, consulenti, soggetti incaricati della revisione e certificazione del bilancio della nostra Società, enti creditizi e finanziari, società di assicurazione e recupero crediti, studi legali, associazioni di categoria (es. </w:t>
      </w:r>
      <w:proofErr w:type="spellStart"/>
      <w:r w:rsidRPr="008A2199">
        <w:t>Assilea</w:t>
      </w:r>
      <w:proofErr w:type="spellEnd"/>
      <w:r w:rsidRPr="008A2199">
        <w:t xml:space="preserve">), società di assistenza tecnica. </w:t>
      </w:r>
    </w:p>
    <w:p w14:paraId="6566C731" w14:textId="77777777" w:rsidR="008A2199" w:rsidRPr="008A2199" w:rsidRDefault="008A2199" w:rsidP="008A2199">
      <w:pPr>
        <w:jc w:val="both"/>
      </w:pPr>
      <w:r w:rsidRPr="008A2199">
        <w:t>Ove necessario, la Società ha provveduto a nominare tali soggetti responsabili del trattamento, ai sensi dell’art. 28 del Regolamento. Scrivendo ai dati di contatto sopra riportati è possibile ottenere la lista completa dei terzi destinatari dei Dati Personali. All’interno della Società i suoi dati saranno trattati esclusivamente da soggetti espressamente autorizzati al trattamento, ai sensi degli artt. 29 del Regolamento e 2-</w:t>
      </w:r>
      <w:r w:rsidRPr="008A2199">
        <w:rPr>
          <w:i/>
          <w:iCs/>
        </w:rPr>
        <w:t xml:space="preserve">quaterdecies </w:t>
      </w:r>
      <w:r w:rsidRPr="008A2199">
        <w:t xml:space="preserve">del </w:t>
      </w:r>
      <w:proofErr w:type="spellStart"/>
      <w:r w:rsidRPr="008A2199">
        <w:t>D.Lgs.</w:t>
      </w:r>
      <w:proofErr w:type="spellEnd"/>
      <w:r w:rsidRPr="008A2199">
        <w:t xml:space="preserve"> 196/2003.</w:t>
      </w:r>
    </w:p>
    <w:p w14:paraId="3F35E273" w14:textId="77777777" w:rsidR="002B2143" w:rsidRPr="008A2199" w:rsidRDefault="002B2143" w:rsidP="002B2143">
      <w:pPr>
        <w:jc w:val="both"/>
        <w:rPr>
          <w:b/>
        </w:rPr>
      </w:pPr>
      <w:r w:rsidRPr="008A2199">
        <w:rPr>
          <w:b/>
        </w:rPr>
        <w:t>TRASFERIMENTO DEI DATI FUORI DALL’UE</w:t>
      </w:r>
    </w:p>
    <w:p w14:paraId="113D2F78" w14:textId="77777777" w:rsidR="002B2143" w:rsidRPr="008A2199" w:rsidRDefault="002B2143" w:rsidP="002B2143">
      <w:pPr>
        <w:jc w:val="both"/>
        <w:rPr>
          <w:bCs/>
        </w:rPr>
      </w:pPr>
      <w:r w:rsidRPr="008A2199">
        <w:rPr>
          <w:bCs/>
        </w:rPr>
        <w:t xml:space="preserve">Di norma i Dati Personali sono trattati all’interno dell’Unione Europea. Tuttavia, per motivi di carattere tecnico e/o operativo, potranno inoltre essere trasferiti all’estero, anche al di fuori della U.E., esclusivamente per le finalità indicate nella presente informativa, a terzi che svolgono servizi per nostro conto (ad es. Servizi IT, servizi di archiviazione). </w:t>
      </w:r>
    </w:p>
    <w:p w14:paraId="7352D253" w14:textId="77777777" w:rsidR="002B2143" w:rsidRPr="008A2199" w:rsidRDefault="002B2143" w:rsidP="002B2143">
      <w:pPr>
        <w:jc w:val="both"/>
        <w:rPr>
          <w:bCs/>
        </w:rPr>
      </w:pPr>
      <w:r w:rsidRPr="008A2199">
        <w:rPr>
          <w:bCs/>
        </w:rPr>
        <w:t xml:space="preserve">Nel dettaglio, i Dati Personali potranno essere trasferiti verso Paesi al di fuori della U.E. solo se questi siano stati riconosciuti dalla Commissione Europea come aventi un livello adeguato di protezione dei dati personali o, in caso contrario, solo se sia garantito contrattualmente un livello di protezione dei dati personali adeguato rispetto a quello dell’Unione Europea (es. tramite la sottoscrizione delle clausole contrattuali standard previste dalla Commissione Europea) e se sia sempre assicurato l’esercizio dei diritti degli interessati. </w:t>
      </w:r>
    </w:p>
    <w:p w14:paraId="4B5BC226" w14:textId="77777777" w:rsidR="002B2143" w:rsidRPr="008A2199" w:rsidRDefault="002B2143" w:rsidP="002B2143">
      <w:pPr>
        <w:jc w:val="both"/>
        <w:rPr>
          <w:bCs/>
        </w:rPr>
      </w:pPr>
      <w:r w:rsidRPr="008A2199">
        <w:rPr>
          <w:bCs/>
        </w:rPr>
        <w:t xml:space="preserve">Facendone richiesta ai dati di contatto sopra riportati potrà ottenere maggiori informazioni circa i Paesi presso i quali sono trasferiti i Dati Personali. </w:t>
      </w:r>
    </w:p>
    <w:p w14:paraId="1A33F95C" w14:textId="77777777" w:rsidR="002B2143" w:rsidRPr="008A2199" w:rsidRDefault="002B2143" w:rsidP="002B2143">
      <w:pPr>
        <w:jc w:val="both"/>
        <w:rPr>
          <w:b/>
          <w:bCs/>
        </w:rPr>
      </w:pPr>
    </w:p>
    <w:p w14:paraId="56F1F1D2" w14:textId="77777777" w:rsidR="002B2143" w:rsidRPr="008A2199" w:rsidRDefault="002B2143" w:rsidP="002B2143">
      <w:pPr>
        <w:jc w:val="both"/>
        <w:rPr>
          <w:b/>
          <w:bCs/>
        </w:rPr>
      </w:pPr>
      <w:r w:rsidRPr="008A2199">
        <w:rPr>
          <w:b/>
          <w:bCs/>
        </w:rPr>
        <w:lastRenderedPageBreak/>
        <w:t>PERIODO DI CONSERVAZIONE DEI DATI</w:t>
      </w:r>
    </w:p>
    <w:p w14:paraId="7869FC9F" w14:textId="1A0A9ED9" w:rsidR="002B2143" w:rsidRDefault="002B2143" w:rsidP="008A2199">
      <w:pPr>
        <w:jc w:val="both"/>
        <w:rPr>
          <w:b/>
        </w:rPr>
      </w:pPr>
      <w:r w:rsidRPr="008A2199">
        <w:t xml:space="preserve">I Dati Personali saranno conservati per tutto il tempo necessario alla gestione del rapporto contrattuale con l’interessato, fermo restando che decorsi </w:t>
      </w:r>
      <w:proofErr w:type="gramStart"/>
      <w:r w:rsidRPr="008A2199">
        <w:t>11</w:t>
      </w:r>
      <w:proofErr w:type="gramEnd"/>
      <w:r w:rsidRPr="008A2199">
        <w:t xml:space="preserve"> anni dalla cessazione del rapporto si procederà alla cancellazione dei Dati Personali, salvo i casi previsti dalla legge che prescrivano una loro conservazione ulteriore.</w:t>
      </w:r>
    </w:p>
    <w:p w14:paraId="6B32D0A8" w14:textId="6C905717" w:rsidR="008A2199" w:rsidRPr="008A2199" w:rsidRDefault="008A2199" w:rsidP="008A2199">
      <w:pPr>
        <w:jc w:val="both"/>
      </w:pPr>
      <w:r w:rsidRPr="008A2199">
        <w:rPr>
          <w:b/>
        </w:rPr>
        <w:t>DIRITTI DELL’INTERESSATO</w:t>
      </w:r>
    </w:p>
    <w:p w14:paraId="177BBA17" w14:textId="77777777" w:rsidR="008A2199" w:rsidRPr="008A2199" w:rsidRDefault="008A2199" w:rsidP="008A2199">
      <w:pPr>
        <w:jc w:val="both"/>
      </w:pPr>
      <w:r w:rsidRPr="008A2199">
        <w:t xml:space="preserve">Informiamo che i Fornitori / Partner commerciali inclusi il relativo/i personale, i suoi collaboratori, </w:t>
      </w:r>
      <w:proofErr w:type="gramStart"/>
      <w:r w:rsidRPr="008A2199">
        <w:t>i</w:t>
      </w:r>
      <w:proofErr w:type="gramEnd"/>
      <w:r w:rsidRPr="008A2199">
        <w:t xml:space="preserve"> amministratori o soggetti comunque collegati con i fornitori / partner commerciali, hanno i seguenti diritti:</w:t>
      </w:r>
    </w:p>
    <w:p w14:paraId="009EBDFB" w14:textId="77777777" w:rsidR="008A2199" w:rsidRPr="008A2199" w:rsidRDefault="008A2199" w:rsidP="008A2199">
      <w:pPr>
        <w:numPr>
          <w:ilvl w:val="0"/>
          <w:numId w:val="3"/>
        </w:numPr>
        <w:jc w:val="both"/>
        <w:rPr>
          <w:b/>
        </w:rPr>
      </w:pPr>
      <w:r w:rsidRPr="008A2199">
        <w:rPr>
          <w:b/>
        </w:rPr>
        <w:t>Diritto d’accesso</w:t>
      </w:r>
      <w:r w:rsidRPr="008A2199">
        <w:t>: il diritto di ottenere dal titolare del trattamento la conferma che sia o meno in corso un trattamento di dati personali che li riguardano e in tal caso, di ottenere l'accesso ai dati personali alle seguenti informazioni specificate nell’art. 15 del Regolamento Generale sulla Protezione dei Dati;</w:t>
      </w:r>
    </w:p>
    <w:p w14:paraId="64EAED72" w14:textId="77777777" w:rsidR="008A2199" w:rsidRPr="008A2199" w:rsidRDefault="008A2199" w:rsidP="008A2199">
      <w:pPr>
        <w:numPr>
          <w:ilvl w:val="0"/>
          <w:numId w:val="3"/>
        </w:numPr>
        <w:jc w:val="both"/>
        <w:rPr>
          <w:b/>
        </w:rPr>
      </w:pPr>
      <w:r w:rsidRPr="008A2199">
        <w:rPr>
          <w:b/>
        </w:rPr>
        <w:t>Diritto di rettifica</w:t>
      </w:r>
      <w:r w:rsidRPr="008A2199">
        <w:t>: il diritto di ottenere dal titolare del trattamento la rettifica dei dati personali inesatti che li riguardano senza ingiustificato ritardo e l'integrazione dei dati personali incompleti, anche fornendo una dichiarazione integrativa</w:t>
      </w:r>
    </w:p>
    <w:p w14:paraId="23A40F26" w14:textId="77777777" w:rsidR="008A2199" w:rsidRPr="008A2199" w:rsidRDefault="008A2199" w:rsidP="008A2199">
      <w:pPr>
        <w:numPr>
          <w:ilvl w:val="0"/>
          <w:numId w:val="3"/>
        </w:numPr>
        <w:jc w:val="both"/>
        <w:rPr>
          <w:bCs/>
        </w:rPr>
      </w:pPr>
      <w:r w:rsidRPr="008A2199">
        <w:rPr>
          <w:b/>
        </w:rPr>
        <w:t xml:space="preserve">Diritto alla cancellazione: </w:t>
      </w:r>
      <w:r w:rsidRPr="008A2199">
        <w:rPr>
          <w:bCs/>
        </w:rPr>
        <w:t>il diritto di ottenere dal titolare del trattamento la cancellazione dei dati personali che li riguardano senza ingiustificato ritardo, qualora sussistano i motivi specificati nell’art. 17 del Regolamento;</w:t>
      </w:r>
    </w:p>
    <w:p w14:paraId="67E5F6D9" w14:textId="77777777" w:rsidR="008A2199" w:rsidRPr="008A2199" w:rsidRDefault="008A2199" w:rsidP="008A2199">
      <w:pPr>
        <w:numPr>
          <w:ilvl w:val="0"/>
          <w:numId w:val="3"/>
        </w:numPr>
        <w:jc w:val="both"/>
        <w:rPr>
          <w:bCs/>
        </w:rPr>
      </w:pPr>
      <w:r w:rsidRPr="008A2199">
        <w:rPr>
          <w:b/>
        </w:rPr>
        <w:t xml:space="preserve">Diritto di limitazione del trattamento: </w:t>
      </w:r>
      <w:r w:rsidRPr="008A2199">
        <w:rPr>
          <w:bCs/>
        </w:rPr>
        <w:t>il diritto di ottenere dal titolare del trattamento la limitazione del trattamento quando ricorre una delle ipotesi previste dall’art. 18 del Regolamento;</w:t>
      </w:r>
    </w:p>
    <w:p w14:paraId="7C3BDF0F" w14:textId="77777777" w:rsidR="008A2199" w:rsidRPr="008A2199" w:rsidRDefault="008A2199" w:rsidP="008A2199">
      <w:pPr>
        <w:numPr>
          <w:ilvl w:val="0"/>
          <w:numId w:val="3"/>
        </w:numPr>
        <w:jc w:val="both"/>
        <w:rPr>
          <w:b/>
        </w:rPr>
      </w:pPr>
      <w:r w:rsidRPr="008A2199">
        <w:rPr>
          <w:b/>
        </w:rPr>
        <w:t xml:space="preserve">Diritto alla portabilità dei dati: </w:t>
      </w:r>
      <w:r w:rsidRPr="008A2199">
        <w:rPr>
          <w:bCs/>
        </w:rPr>
        <w:t>il diritto di ricevere in un formato strutturato, di uso comune e leggibile da dispositivo automatico i dati personali che li riguardano forniti a un titolare del trattamento e ha il diritto di trasmettere tali dati a un altro titolare del trattamento senza impedimenti da parte del titolare del trattamento cui li ha forniti qualora ricorrano i presupposti previsti dall’art. 20 del Regolamento;</w:t>
      </w:r>
    </w:p>
    <w:p w14:paraId="1FE948CC" w14:textId="77777777" w:rsidR="008A2199" w:rsidRPr="008A2199" w:rsidRDefault="008A2199" w:rsidP="008A2199">
      <w:pPr>
        <w:numPr>
          <w:ilvl w:val="0"/>
          <w:numId w:val="3"/>
        </w:numPr>
        <w:jc w:val="both"/>
        <w:rPr>
          <w:bCs/>
        </w:rPr>
      </w:pPr>
      <w:r w:rsidRPr="008A2199">
        <w:rPr>
          <w:b/>
        </w:rPr>
        <w:t xml:space="preserve">Diritto di opposizione: </w:t>
      </w:r>
      <w:r w:rsidRPr="008A2199">
        <w:rPr>
          <w:bCs/>
        </w:rPr>
        <w:t>il diritto di opporsi in qualsiasi momento, per motivi connessi alla sua situazione particolare, al trattamento dei dati personali che li riguardano nei casi e con le modalità previste dall’art. 21 del Regolamento;</w:t>
      </w:r>
    </w:p>
    <w:p w14:paraId="539A87CF" w14:textId="77777777" w:rsidR="008A2199" w:rsidRPr="008A2199" w:rsidRDefault="008A2199" w:rsidP="008A2199">
      <w:pPr>
        <w:numPr>
          <w:ilvl w:val="0"/>
          <w:numId w:val="3"/>
        </w:numPr>
        <w:jc w:val="both"/>
        <w:rPr>
          <w:bCs/>
        </w:rPr>
      </w:pPr>
      <w:r w:rsidRPr="008A2199">
        <w:rPr>
          <w:b/>
        </w:rPr>
        <w:t>Diritto a non essere sottoposto a una decisione basata unicamente su un trattamento automatizzato</w:t>
      </w:r>
      <w:r w:rsidRPr="008A2199">
        <w:rPr>
          <w:bCs/>
        </w:rPr>
        <w:t>, compresa la profilazione, che produca effetti giuridici che li riguardano o che incida in modo analogo significativamente sulla sua persona, secondo le modalità previste dall’art. 22 del Regolamento.</w:t>
      </w:r>
    </w:p>
    <w:p w14:paraId="6A58F7E6" w14:textId="77777777" w:rsidR="008A2199" w:rsidRPr="008A2199" w:rsidRDefault="008A2199" w:rsidP="008A2199">
      <w:pPr>
        <w:jc w:val="both"/>
        <w:rPr>
          <w:b/>
        </w:rPr>
      </w:pPr>
      <w:r w:rsidRPr="008A2199">
        <w:rPr>
          <w:bCs/>
        </w:rPr>
        <w:t xml:space="preserve">Per l’esercizio dei diritti sopra elencati, preghiamo di contattare il Titolare al seguente indirizzo e-mail: </w:t>
      </w:r>
      <w:hyperlink r:id="rId8" w:history="1">
        <w:r w:rsidRPr="008A2199">
          <w:rPr>
            <w:rStyle w:val="Collegamentoipertestuale"/>
            <w:bCs/>
          </w:rPr>
          <w:t>privacy-it-es@groupebpce.com</w:t>
        </w:r>
      </w:hyperlink>
      <w:r w:rsidRPr="008A2199">
        <w:rPr>
          <w:bCs/>
        </w:rPr>
        <w:t>. A tale richiesta sarà fornito idoneo riscontro secondo le tempistiche previste dal Regolamento</w:t>
      </w:r>
      <w:r w:rsidRPr="008A2199">
        <w:rPr>
          <w:b/>
        </w:rPr>
        <w:t xml:space="preserve">. </w:t>
      </w:r>
    </w:p>
    <w:p w14:paraId="628512F2" w14:textId="77777777" w:rsidR="008A2199" w:rsidRPr="008A2199" w:rsidRDefault="008A2199" w:rsidP="008A2199">
      <w:pPr>
        <w:jc w:val="both"/>
        <w:rPr>
          <w:b/>
          <w:bCs/>
        </w:rPr>
      </w:pPr>
      <w:r w:rsidRPr="008A2199">
        <w:rPr>
          <w:b/>
          <w:bCs/>
        </w:rPr>
        <w:t>DIRITTO DI PROPORRE RECLAMO A UN’AUTORITÀ DI CONTROLLO</w:t>
      </w:r>
    </w:p>
    <w:p w14:paraId="19F94EFD" w14:textId="2634AAE7" w:rsidR="00AA4D02" w:rsidRDefault="008A2199" w:rsidP="008A2199">
      <w:pPr>
        <w:jc w:val="both"/>
      </w:pPr>
      <w:r w:rsidRPr="008A2199">
        <w:t>I Fornitori / Partner commerciali inclusi il relativo personale, i relativi collaboratori, i relativi amministratori o i soggetti comunque collegati con i fornitori / partner commerciali hanno il diritto di proporre reclamo presso un’Autorità di controllo presente nel proprio Paese di residenza o presso una qualsiasi Autorità di controllo in Unione Europea.</w:t>
      </w:r>
    </w:p>
    <w:sectPr w:rsidR="00AA4D02" w:rsidSect="006F0649">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F396" w14:textId="77777777" w:rsidR="002A7B70" w:rsidRDefault="002A7B70" w:rsidP="0077396B">
      <w:pPr>
        <w:spacing w:after="0" w:line="240" w:lineRule="auto"/>
      </w:pPr>
      <w:r>
        <w:separator/>
      </w:r>
    </w:p>
  </w:endnote>
  <w:endnote w:type="continuationSeparator" w:id="0">
    <w:p w14:paraId="4FD5DB6D" w14:textId="77777777" w:rsidR="002A7B70" w:rsidRDefault="002A7B70" w:rsidP="00773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3F545" w14:textId="77777777" w:rsidR="002A7B70" w:rsidRDefault="002A7B70" w:rsidP="0077396B">
      <w:pPr>
        <w:spacing w:after="0" w:line="240" w:lineRule="auto"/>
      </w:pPr>
      <w:r>
        <w:separator/>
      </w:r>
    </w:p>
  </w:footnote>
  <w:footnote w:type="continuationSeparator" w:id="0">
    <w:p w14:paraId="6C8163FC" w14:textId="77777777" w:rsidR="002A7B70" w:rsidRDefault="002A7B70" w:rsidP="00773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0E95"/>
    <w:multiLevelType w:val="hybridMultilevel"/>
    <w:tmpl w:val="2D66E696"/>
    <w:lvl w:ilvl="0" w:tplc="B75A9F8E">
      <w:start w:val="1"/>
      <w:numFmt w:val="bullet"/>
      <w:lvlText w:val=""/>
      <w:lvlJc w:val="left"/>
      <w:pPr>
        <w:ind w:left="911" w:hanging="567"/>
      </w:pPr>
      <w:rPr>
        <w:rFonts w:ascii="Symbol" w:eastAsia="Symbol" w:hAnsi="Symbol" w:hint="default"/>
        <w:color w:val="231F20"/>
        <w:w w:val="99"/>
        <w:sz w:val="18"/>
        <w:szCs w:val="18"/>
      </w:rPr>
    </w:lvl>
    <w:lvl w:ilvl="1" w:tplc="B1708DA8">
      <w:start w:val="1"/>
      <w:numFmt w:val="bullet"/>
      <w:lvlText w:val="•"/>
      <w:lvlJc w:val="left"/>
      <w:pPr>
        <w:ind w:left="1863" w:hanging="567"/>
      </w:pPr>
    </w:lvl>
    <w:lvl w:ilvl="2" w:tplc="F78C5A6C">
      <w:start w:val="1"/>
      <w:numFmt w:val="bullet"/>
      <w:lvlText w:val="•"/>
      <w:lvlJc w:val="left"/>
      <w:pPr>
        <w:ind w:left="2816" w:hanging="567"/>
      </w:pPr>
    </w:lvl>
    <w:lvl w:ilvl="3" w:tplc="47CCED5C">
      <w:start w:val="1"/>
      <w:numFmt w:val="bullet"/>
      <w:lvlText w:val="•"/>
      <w:lvlJc w:val="left"/>
      <w:pPr>
        <w:ind w:left="3769" w:hanging="567"/>
      </w:pPr>
    </w:lvl>
    <w:lvl w:ilvl="4" w:tplc="7756952A">
      <w:start w:val="1"/>
      <w:numFmt w:val="bullet"/>
      <w:lvlText w:val="•"/>
      <w:lvlJc w:val="left"/>
      <w:pPr>
        <w:ind w:left="4722" w:hanging="567"/>
      </w:pPr>
    </w:lvl>
    <w:lvl w:ilvl="5" w:tplc="00668BC0">
      <w:start w:val="1"/>
      <w:numFmt w:val="bullet"/>
      <w:lvlText w:val="•"/>
      <w:lvlJc w:val="left"/>
      <w:pPr>
        <w:ind w:left="5675" w:hanging="567"/>
      </w:pPr>
    </w:lvl>
    <w:lvl w:ilvl="6" w:tplc="E62853F8">
      <w:start w:val="1"/>
      <w:numFmt w:val="bullet"/>
      <w:lvlText w:val="•"/>
      <w:lvlJc w:val="left"/>
      <w:pPr>
        <w:ind w:left="6628" w:hanging="567"/>
      </w:pPr>
    </w:lvl>
    <w:lvl w:ilvl="7" w:tplc="ABF08D2A">
      <w:start w:val="1"/>
      <w:numFmt w:val="bullet"/>
      <w:lvlText w:val="•"/>
      <w:lvlJc w:val="left"/>
      <w:pPr>
        <w:ind w:left="7581" w:hanging="567"/>
      </w:pPr>
    </w:lvl>
    <w:lvl w:ilvl="8" w:tplc="0AB66C18">
      <w:start w:val="1"/>
      <w:numFmt w:val="bullet"/>
      <w:lvlText w:val="•"/>
      <w:lvlJc w:val="left"/>
      <w:pPr>
        <w:ind w:left="8534" w:hanging="567"/>
      </w:pPr>
    </w:lvl>
  </w:abstractNum>
  <w:abstractNum w:abstractNumId="1" w15:restartNumberingAfterBreak="0">
    <w:nsid w:val="22095B36"/>
    <w:multiLevelType w:val="hybridMultilevel"/>
    <w:tmpl w:val="F538E96A"/>
    <w:lvl w:ilvl="0" w:tplc="04100015">
      <w:start w:val="1"/>
      <w:numFmt w:val="upperLetter"/>
      <w:lvlText w:val="%1."/>
      <w:lvlJc w:val="left"/>
      <w:pPr>
        <w:ind w:left="1063" w:hanging="360"/>
      </w:pPr>
    </w:lvl>
    <w:lvl w:ilvl="1" w:tplc="04100019">
      <w:start w:val="1"/>
      <w:numFmt w:val="lowerLetter"/>
      <w:lvlText w:val="%2."/>
      <w:lvlJc w:val="left"/>
      <w:pPr>
        <w:ind w:left="1783" w:hanging="360"/>
      </w:pPr>
    </w:lvl>
    <w:lvl w:ilvl="2" w:tplc="0410001B">
      <w:start w:val="1"/>
      <w:numFmt w:val="lowerRoman"/>
      <w:lvlText w:val="%3."/>
      <w:lvlJc w:val="right"/>
      <w:pPr>
        <w:ind w:left="2503" w:hanging="180"/>
      </w:pPr>
    </w:lvl>
    <w:lvl w:ilvl="3" w:tplc="0410000F">
      <w:start w:val="1"/>
      <w:numFmt w:val="decimal"/>
      <w:lvlText w:val="%4."/>
      <w:lvlJc w:val="left"/>
      <w:pPr>
        <w:ind w:left="3223" w:hanging="360"/>
      </w:pPr>
    </w:lvl>
    <w:lvl w:ilvl="4" w:tplc="04100019">
      <w:start w:val="1"/>
      <w:numFmt w:val="lowerLetter"/>
      <w:lvlText w:val="%5."/>
      <w:lvlJc w:val="left"/>
      <w:pPr>
        <w:ind w:left="3943" w:hanging="360"/>
      </w:pPr>
    </w:lvl>
    <w:lvl w:ilvl="5" w:tplc="0410001B">
      <w:start w:val="1"/>
      <w:numFmt w:val="lowerRoman"/>
      <w:lvlText w:val="%6."/>
      <w:lvlJc w:val="right"/>
      <w:pPr>
        <w:ind w:left="4663" w:hanging="180"/>
      </w:pPr>
    </w:lvl>
    <w:lvl w:ilvl="6" w:tplc="0410000F">
      <w:start w:val="1"/>
      <w:numFmt w:val="decimal"/>
      <w:lvlText w:val="%7."/>
      <w:lvlJc w:val="left"/>
      <w:pPr>
        <w:ind w:left="5383" w:hanging="360"/>
      </w:pPr>
    </w:lvl>
    <w:lvl w:ilvl="7" w:tplc="04100019">
      <w:start w:val="1"/>
      <w:numFmt w:val="lowerLetter"/>
      <w:lvlText w:val="%8."/>
      <w:lvlJc w:val="left"/>
      <w:pPr>
        <w:ind w:left="6103" w:hanging="360"/>
      </w:pPr>
    </w:lvl>
    <w:lvl w:ilvl="8" w:tplc="0410001B">
      <w:start w:val="1"/>
      <w:numFmt w:val="lowerRoman"/>
      <w:lvlText w:val="%9."/>
      <w:lvlJc w:val="right"/>
      <w:pPr>
        <w:ind w:left="6823" w:hanging="180"/>
      </w:pPr>
    </w:lvl>
  </w:abstractNum>
  <w:abstractNum w:abstractNumId="2" w15:restartNumberingAfterBreak="0">
    <w:nsid w:val="4FDD08F1"/>
    <w:multiLevelType w:val="hybridMultilevel"/>
    <w:tmpl w:val="7B3633E4"/>
    <w:lvl w:ilvl="0" w:tplc="164CB1B6">
      <w:start w:val="5"/>
      <w:numFmt w:val="bullet"/>
      <w:lvlText w:val="-"/>
      <w:lvlJc w:val="left"/>
      <w:pPr>
        <w:ind w:left="749" w:hanging="360"/>
      </w:pPr>
      <w:rPr>
        <w:rFonts w:ascii="Tahoma" w:eastAsia="Tahoma" w:hAnsi="Tahoma" w:cs="Tahoma" w:hint="default"/>
      </w:rPr>
    </w:lvl>
    <w:lvl w:ilvl="1" w:tplc="04100003">
      <w:start w:val="1"/>
      <w:numFmt w:val="bullet"/>
      <w:lvlText w:val="o"/>
      <w:lvlJc w:val="left"/>
      <w:pPr>
        <w:ind w:left="1469" w:hanging="360"/>
      </w:pPr>
      <w:rPr>
        <w:rFonts w:ascii="Courier New" w:hAnsi="Courier New" w:cs="Courier New" w:hint="default"/>
      </w:rPr>
    </w:lvl>
    <w:lvl w:ilvl="2" w:tplc="04100005">
      <w:start w:val="1"/>
      <w:numFmt w:val="bullet"/>
      <w:lvlText w:val=""/>
      <w:lvlJc w:val="left"/>
      <w:pPr>
        <w:ind w:left="2189" w:hanging="360"/>
      </w:pPr>
      <w:rPr>
        <w:rFonts w:ascii="Wingdings" w:hAnsi="Wingdings" w:hint="default"/>
      </w:rPr>
    </w:lvl>
    <w:lvl w:ilvl="3" w:tplc="04100001">
      <w:start w:val="1"/>
      <w:numFmt w:val="bullet"/>
      <w:lvlText w:val=""/>
      <w:lvlJc w:val="left"/>
      <w:pPr>
        <w:ind w:left="2909" w:hanging="360"/>
      </w:pPr>
      <w:rPr>
        <w:rFonts w:ascii="Symbol" w:hAnsi="Symbol" w:hint="default"/>
      </w:rPr>
    </w:lvl>
    <w:lvl w:ilvl="4" w:tplc="04100003">
      <w:start w:val="1"/>
      <w:numFmt w:val="bullet"/>
      <w:lvlText w:val="o"/>
      <w:lvlJc w:val="left"/>
      <w:pPr>
        <w:ind w:left="3629" w:hanging="360"/>
      </w:pPr>
      <w:rPr>
        <w:rFonts w:ascii="Courier New" w:hAnsi="Courier New" w:cs="Courier New" w:hint="default"/>
      </w:rPr>
    </w:lvl>
    <w:lvl w:ilvl="5" w:tplc="04100005">
      <w:start w:val="1"/>
      <w:numFmt w:val="bullet"/>
      <w:lvlText w:val=""/>
      <w:lvlJc w:val="left"/>
      <w:pPr>
        <w:ind w:left="4349" w:hanging="360"/>
      </w:pPr>
      <w:rPr>
        <w:rFonts w:ascii="Wingdings" w:hAnsi="Wingdings" w:hint="default"/>
      </w:rPr>
    </w:lvl>
    <w:lvl w:ilvl="6" w:tplc="04100001">
      <w:start w:val="1"/>
      <w:numFmt w:val="bullet"/>
      <w:lvlText w:val=""/>
      <w:lvlJc w:val="left"/>
      <w:pPr>
        <w:ind w:left="5069" w:hanging="360"/>
      </w:pPr>
      <w:rPr>
        <w:rFonts w:ascii="Symbol" w:hAnsi="Symbol" w:hint="default"/>
      </w:rPr>
    </w:lvl>
    <w:lvl w:ilvl="7" w:tplc="04100003">
      <w:start w:val="1"/>
      <w:numFmt w:val="bullet"/>
      <w:lvlText w:val="o"/>
      <w:lvlJc w:val="left"/>
      <w:pPr>
        <w:ind w:left="5789" w:hanging="360"/>
      </w:pPr>
      <w:rPr>
        <w:rFonts w:ascii="Courier New" w:hAnsi="Courier New" w:cs="Courier New" w:hint="default"/>
      </w:rPr>
    </w:lvl>
    <w:lvl w:ilvl="8" w:tplc="04100005">
      <w:start w:val="1"/>
      <w:numFmt w:val="bullet"/>
      <w:lvlText w:val=""/>
      <w:lvlJc w:val="left"/>
      <w:pPr>
        <w:ind w:left="6509" w:hanging="360"/>
      </w:pPr>
      <w:rPr>
        <w:rFonts w:ascii="Wingdings" w:hAnsi="Wingdings" w:hint="default"/>
      </w:rPr>
    </w:lvl>
  </w:abstractNum>
  <w:num w:numId="1" w16cid:durableId="1356998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8939939">
    <w:abstractNumId w:val="0"/>
  </w:num>
  <w:num w:numId="3" w16cid:durableId="157573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85"/>
    <w:rsid w:val="00007A74"/>
    <w:rsid w:val="0005000E"/>
    <w:rsid w:val="000B490B"/>
    <w:rsid w:val="00100EDD"/>
    <w:rsid w:val="00170FFB"/>
    <w:rsid w:val="001A1DA8"/>
    <w:rsid w:val="001E48EC"/>
    <w:rsid w:val="002A7B70"/>
    <w:rsid w:val="002B2143"/>
    <w:rsid w:val="002E2B66"/>
    <w:rsid w:val="002F4369"/>
    <w:rsid w:val="003F0441"/>
    <w:rsid w:val="00400948"/>
    <w:rsid w:val="00455C7A"/>
    <w:rsid w:val="0046340F"/>
    <w:rsid w:val="00495F6F"/>
    <w:rsid w:val="00572685"/>
    <w:rsid w:val="005C50CC"/>
    <w:rsid w:val="005C6210"/>
    <w:rsid w:val="006F0649"/>
    <w:rsid w:val="0077396B"/>
    <w:rsid w:val="00786913"/>
    <w:rsid w:val="00794FE4"/>
    <w:rsid w:val="007F61BE"/>
    <w:rsid w:val="008A2199"/>
    <w:rsid w:val="00954D47"/>
    <w:rsid w:val="00AA4D02"/>
    <w:rsid w:val="00BC4F14"/>
    <w:rsid w:val="00CF11B4"/>
    <w:rsid w:val="00D31525"/>
    <w:rsid w:val="00D85D1A"/>
    <w:rsid w:val="00E5607E"/>
    <w:rsid w:val="00E72875"/>
    <w:rsid w:val="00E7493B"/>
    <w:rsid w:val="00EE7195"/>
    <w:rsid w:val="00F853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947"/>
  <w15:chartTrackingRefBased/>
  <w15:docId w15:val="{C2E92060-CB46-404E-B107-9792DF44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72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72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726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726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726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7268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7268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7268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7268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726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726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726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726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726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726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726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726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726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572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726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726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726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726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72685"/>
    <w:rPr>
      <w:i/>
      <w:iCs/>
      <w:color w:val="404040" w:themeColor="text1" w:themeTint="BF"/>
    </w:rPr>
  </w:style>
  <w:style w:type="paragraph" w:styleId="Paragrafoelenco">
    <w:name w:val="List Paragraph"/>
    <w:basedOn w:val="Normale"/>
    <w:uiPriority w:val="34"/>
    <w:qFormat/>
    <w:rsid w:val="00572685"/>
    <w:pPr>
      <w:ind w:left="720"/>
      <w:contextualSpacing/>
    </w:pPr>
  </w:style>
  <w:style w:type="character" w:styleId="Enfasiintensa">
    <w:name w:val="Intense Emphasis"/>
    <w:basedOn w:val="Carpredefinitoparagrafo"/>
    <w:uiPriority w:val="21"/>
    <w:qFormat/>
    <w:rsid w:val="00572685"/>
    <w:rPr>
      <w:i/>
      <w:iCs/>
      <w:color w:val="0F4761" w:themeColor="accent1" w:themeShade="BF"/>
    </w:rPr>
  </w:style>
  <w:style w:type="paragraph" w:styleId="Citazioneintensa">
    <w:name w:val="Intense Quote"/>
    <w:basedOn w:val="Normale"/>
    <w:next w:val="Normale"/>
    <w:link w:val="CitazioneintensaCarattere"/>
    <w:uiPriority w:val="30"/>
    <w:qFormat/>
    <w:rsid w:val="00572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72685"/>
    <w:rPr>
      <w:i/>
      <w:iCs/>
      <w:color w:val="0F4761" w:themeColor="accent1" w:themeShade="BF"/>
    </w:rPr>
  </w:style>
  <w:style w:type="character" w:styleId="Riferimentointenso">
    <w:name w:val="Intense Reference"/>
    <w:basedOn w:val="Carpredefinitoparagrafo"/>
    <w:uiPriority w:val="32"/>
    <w:qFormat/>
    <w:rsid w:val="00572685"/>
    <w:rPr>
      <w:b/>
      <w:bCs/>
      <w:smallCaps/>
      <w:color w:val="0F4761" w:themeColor="accent1" w:themeShade="BF"/>
      <w:spacing w:val="5"/>
    </w:rPr>
  </w:style>
  <w:style w:type="character" w:styleId="Collegamentoipertestuale">
    <w:name w:val="Hyperlink"/>
    <w:basedOn w:val="Carpredefinitoparagrafo"/>
    <w:uiPriority w:val="99"/>
    <w:unhideWhenUsed/>
    <w:rsid w:val="008A2199"/>
    <w:rPr>
      <w:color w:val="467886" w:themeColor="hyperlink"/>
      <w:u w:val="single"/>
    </w:rPr>
  </w:style>
  <w:style w:type="character" w:styleId="Menzionenonrisolta">
    <w:name w:val="Unresolved Mention"/>
    <w:basedOn w:val="Carpredefinitoparagrafo"/>
    <w:uiPriority w:val="99"/>
    <w:semiHidden/>
    <w:unhideWhenUsed/>
    <w:rsid w:val="008A2199"/>
    <w:rPr>
      <w:color w:val="605E5C"/>
      <w:shd w:val="clear" w:color="auto" w:fill="E1DFDD"/>
    </w:rPr>
  </w:style>
  <w:style w:type="paragraph" w:styleId="Revisione">
    <w:name w:val="Revision"/>
    <w:hidden/>
    <w:uiPriority w:val="99"/>
    <w:semiHidden/>
    <w:rsid w:val="00495F6F"/>
    <w:pPr>
      <w:spacing w:after="0" w:line="240" w:lineRule="auto"/>
    </w:pPr>
  </w:style>
  <w:style w:type="character" w:styleId="Rimandocommento">
    <w:name w:val="annotation reference"/>
    <w:basedOn w:val="Carpredefinitoparagrafo"/>
    <w:uiPriority w:val="99"/>
    <w:semiHidden/>
    <w:unhideWhenUsed/>
    <w:rsid w:val="001E48EC"/>
    <w:rPr>
      <w:sz w:val="16"/>
      <w:szCs w:val="16"/>
    </w:rPr>
  </w:style>
  <w:style w:type="paragraph" w:styleId="Testocommento">
    <w:name w:val="annotation text"/>
    <w:basedOn w:val="Normale"/>
    <w:link w:val="TestocommentoCarattere"/>
    <w:uiPriority w:val="99"/>
    <w:unhideWhenUsed/>
    <w:rsid w:val="001E48EC"/>
    <w:pPr>
      <w:spacing w:line="240" w:lineRule="auto"/>
    </w:pPr>
    <w:rPr>
      <w:sz w:val="20"/>
      <w:szCs w:val="20"/>
    </w:rPr>
  </w:style>
  <w:style w:type="character" w:customStyle="1" w:styleId="TestocommentoCarattere">
    <w:name w:val="Testo commento Carattere"/>
    <w:basedOn w:val="Carpredefinitoparagrafo"/>
    <w:link w:val="Testocommento"/>
    <w:uiPriority w:val="99"/>
    <w:rsid w:val="001E48EC"/>
    <w:rPr>
      <w:sz w:val="20"/>
      <w:szCs w:val="20"/>
    </w:rPr>
  </w:style>
  <w:style w:type="paragraph" w:styleId="Soggettocommento">
    <w:name w:val="annotation subject"/>
    <w:basedOn w:val="Testocommento"/>
    <w:next w:val="Testocommento"/>
    <w:link w:val="SoggettocommentoCarattere"/>
    <w:uiPriority w:val="99"/>
    <w:semiHidden/>
    <w:unhideWhenUsed/>
    <w:rsid w:val="001E48EC"/>
    <w:rPr>
      <w:b/>
      <w:bCs/>
    </w:rPr>
  </w:style>
  <w:style w:type="character" w:customStyle="1" w:styleId="SoggettocommentoCarattere">
    <w:name w:val="Soggetto commento Carattere"/>
    <w:basedOn w:val="TestocommentoCarattere"/>
    <w:link w:val="Soggettocommento"/>
    <w:uiPriority w:val="99"/>
    <w:semiHidden/>
    <w:rsid w:val="001E48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1356">
      <w:bodyDiv w:val="1"/>
      <w:marLeft w:val="0"/>
      <w:marRight w:val="0"/>
      <w:marTop w:val="0"/>
      <w:marBottom w:val="0"/>
      <w:divBdr>
        <w:top w:val="none" w:sz="0" w:space="0" w:color="auto"/>
        <w:left w:val="none" w:sz="0" w:space="0" w:color="auto"/>
        <w:bottom w:val="none" w:sz="0" w:space="0" w:color="auto"/>
        <w:right w:val="none" w:sz="0" w:space="0" w:color="auto"/>
      </w:divBdr>
    </w:div>
    <w:div w:id="198511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it-es@groupebpc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LEGALE!1363226.1</documentid>
  <senderid>LZOPPELLARI</senderid>
  <senderemail>LZOPPELLARI@TONUCCI.COM</senderemail>
  <lastmodified>2025-10-01T18:51:00.0000000+02:00</lastmodified>
  <database>LEGALE</database>
</properties>
</file>

<file path=customXml/itemProps1.xml><?xml version="1.0" encoding="utf-8"?>
<ds:datastoreItem xmlns:ds="http://schemas.openxmlformats.org/officeDocument/2006/customXml" ds:itemID="{C208B0CD-DEB3-4058-A3C0-DFEEA21984C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1476</Words>
  <Characters>8416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BENTIVOGLIO Caterina (BPCE Equipment Finance - IT)</dc:creator>
  <cp:keywords/>
  <dc:description/>
  <cp:lastModifiedBy>BENTIVOGLIO Caterina (BPCE Equipment Finance - IT)</cp:lastModifiedBy>
  <cp:revision>13</cp:revision>
  <dcterms:created xsi:type="dcterms:W3CDTF">2025-10-01T16:51:00Z</dcterms:created>
  <dcterms:modified xsi:type="dcterms:W3CDTF">2025-11-06T17:38:00Z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01b303-ecb1-4a9d-936a-70858c2d9a3e_Enabled">
    <vt:lpwstr>true</vt:lpwstr>
  </property>
  <property fmtid="{D5CDD505-2E9C-101B-9397-08002B2CF9AE}" pid="3" name="MSIP_Label_a401b303-ecb1-4a9d-936a-70858c2d9a3e_SetDate">
    <vt:lpwstr>2025-09-29T13:21:15Z</vt:lpwstr>
  </property>
  <property fmtid="{D5CDD505-2E9C-101B-9397-08002B2CF9AE}" pid="4" name="MSIP_Label_a401b303-ecb1-4a9d-936a-70858c2d9a3e_Method">
    <vt:lpwstr>Privileged</vt:lpwstr>
  </property>
  <property fmtid="{D5CDD505-2E9C-101B-9397-08002B2CF9AE}" pid="5" name="MSIP_Label_a401b303-ecb1-4a9d-936a-70858c2d9a3e_Name">
    <vt:lpwstr>a401b303-ecb1-4a9d-936a-70858c2d9a3e</vt:lpwstr>
  </property>
  <property fmtid="{D5CDD505-2E9C-101B-9397-08002B2CF9AE}" pid="6" name="MSIP_Label_a401b303-ecb1-4a9d-936a-70858c2d9a3e_SiteId">
    <vt:lpwstr>c9a7d621-4bc4-4407-b730-f428e656aa9e</vt:lpwstr>
  </property>
  <property fmtid="{D5CDD505-2E9C-101B-9397-08002B2CF9AE}" pid="7" name="MSIP_Label_a401b303-ecb1-4a9d-936a-70858c2d9a3e_ActionId">
    <vt:lpwstr>cca3ef38-d348-443f-b85a-c8d6ad0622c5</vt:lpwstr>
  </property>
  <property fmtid="{D5CDD505-2E9C-101B-9397-08002B2CF9AE}" pid="8" name="MSIP_Label_a401b303-ecb1-4a9d-936a-70858c2d9a3e_ContentBits">
    <vt:lpwstr>0</vt:lpwstr>
  </property>
</Properties>
</file>